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3E5" w:rsidRPr="000C03E5" w:rsidRDefault="006D1E91" w:rsidP="000C03E5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Long term Plan English 2021-2022</w:t>
      </w:r>
    </w:p>
    <w:tbl>
      <w:tblPr>
        <w:tblW w:w="136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1"/>
        <w:gridCol w:w="10212"/>
      </w:tblGrid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10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Cambridge IGCSE First Language (0500)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Year Group</w:t>
            </w:r>
          </w:p>
        </w:tc>
        <w:tc>
          <w:tcPr>
            <w:tcW w:w="10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Text Book Title(s) – if applicable</w:t>
            </w:r>
          </w:p>
        </w:tc>
        <w:tc>
          <w:tcPr>
            <w:tcW w:w="10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6D1E91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Collins Cambridge IGCSE Book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Text Book ISBN</w:t>
            </w:r>
          </w:p>
        </w:tc>
        <w:tc>
          <w:tcPr>
            <w:tcW w:w="10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6D1E91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9780008262006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Lessons per week (45 minutes)</w:t>
            </w:r>
          </w:p>
        </w:tc>
        <w:tc>
          <w:tcPr>
            <w:tcW w:w="10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3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</w:tr>
    </w:tbl>
    <w:p w:rsidR="000C03E5" w:rsidRPr="000C03E5" w:rsidRDefault="000C03E5" w:rsidP="000C0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2208"/>
        <w:gridCol w:w="3024"/>
        <w:gridCol w:w="3636"/>
        <w:gridCol w:w="4007"/>
      </w:tblGrid>
      <w:tr w:rsidR="000C03E5" w:rsidRPr="000C03E5" w:rsidTr="006963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Unit Title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Learning Objectives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Assessment Objectives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Skills Focus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0500 Syllabus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will understand the division of the syllabus into Papers 1 (Reading) and Papers 2 or 3</w:t>
            </w:r>
            <w:proofErr w:type="gramStart"/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 (</w:t>
            </w:r>
            <w:proofErr w:type="gramEnd"/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Writing) and how each component is assessed. They discuss the advantages and disadvantages of the coursework portfolio and the writing examination paper. 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Recommended reading list issued.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0C03E5" w:rsidRDefault="000C03E5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3E5" w:rsidRPr="000C03E5" w:rsidTr="000C03E5">
        <w:trPr>
          <w:trHeight w:val="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Narrative vs Descriptive Writing 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D50EE2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will understand and demonstrate the difference between Narrative and Descriptive Writing. They read, discuss and answer questions on examples of each style, considering their preferences.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t>AO2 Writing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W2 organize and structure ideas and opinions for deliberate effect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language for purpose.</w:t>
            </w:r>
          </w:p>
          <w:p w:rsidR="00D50EE2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50EE2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Skimming and scanning for information</w:t>
            </w:r>
          </w:p>
          <w:p w:rsidR="00D50EE2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50EE2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Effective use of language</w:t>
            </w:r>
          </w:p>
          <w:p w:rsidR="00D50EE2" w:rsidRPr="000C03E5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Structuring and Crafting your Writing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Students consider different ways to structure their writing for effect. They revise figurative language techniques, </w:t>
            </w:r>
            <w:proofErr w:type="spellStart"/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analysing</w:t>
            </w:r>
            <w:proofErr w:type="spellEnd"/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short passages from the Reading Paper (Question 2) and discussing the effect of different language techniques. They complete their first draft of a narrative or descriptive piece for their portfolio.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t>AO2 Writing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W2 organize and structure ideas and opinions for deliberate effect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D50EE2" w:rsidP="00D50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Organizing Ideas</w:t>
            </w:r>
          </w:p>
          <w:p w:rsidR="00851239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 of figurative language</w:t>
            </w:r>
          </w:p>
          <w:p w:rsidR="00851239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Analyzing texts/Searching for information</w:t>
            </w:r>
          </w:p>
          <w:p w:rsidR="00851239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Pr="000C03E5" w:rsidRDefault="00851239" w:rsidP="00D50E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6-8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Directed Writing – Writing in Different Styles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Students revise, read and analyse different styles of writing, including travel writing, diaries and journals. </w:t>
            </w: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They read extended passages, discussing their style and content, and practise the skills necessary for Directed Writing, initially as a class and then individually.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lastRenderedPageBreak/>
              <w:t>AO2 Writing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lastRenderedPageBreak/>
              <w:t xml:space="preserve">W2 organize and structure ideas and opinions for deliberate effect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D50EE2" w:rsidP="00D50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Language use for nonfiction writing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 personal opinions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Using emotive language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Descriptive language</w:t>
            </w:r>
          </w:p>
          <w:p w:rsidR="00851239" w:rsidRPr="000C03E5" w:rsidRDefault="00851239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3E5" w:rsidRPr="000C03E5" w:rsidTr="0069636B"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69636B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                                                                              </w:t>
            </w:r>
            <w:r w:rsidR="000C03E5"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Mid-Term Break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D50EE2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0C03E5"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Paper Directed Writing – Writing in Different Styles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revise the skills the writing to persuade, inform and argue, writing in a range of forms, such as reports, articles and letters.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t>AO2 Writing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W2 organize and structure ideas and opinions for deliberate effect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D50EE2" w:rsidP="008512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Using the language features of persuasive 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Writing 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Practise different text types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varied vocabulary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P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Summary Writing/Writer’s Effects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revise summary writing, considering the differences between writing a summary for Second Language and the requirements of the First Language paper. They also practise the skills required for Question 2: Writer’s Effects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t>AO2 Writing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W2 organize and structure ideas and opinions for deliberate effect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5123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Summary writing skills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851239" w:rsidRP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5123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Scanning for information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851239" w:rsidRP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5123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Identifying relevant information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851239" w:rsidRP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5123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Organising</w:t>
            </w:r>
            <w:proofErr w:type="spellEnd"/>
            <w:r w:rsidRPr="0085123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texts into your own words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Assessment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0C03E5" w:rsidRDefault="000C03E5" w:rsidP="008512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D50EE2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Comprehension/Reading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D50EE2" w:rsidP="00D50EE2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Students to read texts, find information, both implicit and explicit.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sz w:val="18"/>
                <w:szCs w:val="18"/>
              </w:rPr>
              <w:t>AO1 Reading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R1 demonstrate understanding of explicit meanings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R2 demonstrate understanding of implicit meanings and attitudes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R3 analyze, evaluate and develop facts, ideas and opinions, using appropriate support from the text </w:t>
            </w:r>
          </w:p>
          <w:p w:rsidR="000C03E5" w:rsidRPr="000C03E5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R5 select and use information for specific purposes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Scanning for information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Identifying explicit and implicit information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P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 of own language to show understanding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Dialogue and Conversation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Students read dialogues and conversations aloud, discussing how spoken language differs from more formal texts. They write their </w:t>
            </w: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own dialogues in pairs and deliver them to the class.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sz w:val="18"/>
                <w:szCs w:val="18"/>
              </w:rPr>
              <w:lastRenderedPageBreak/>
              <w:t>A03 Speaking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SL1 articulate experience and express what is thought, felt and imagined.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SL2 present facts, ideas and opinions in a cohesive order which sustains the audience’s interest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lastRenderedPageBreak/>
              <w:t xml:space="preserve">SL3 communicate clearly and purposefully using fluent language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SL4 use register appropriate to context </w:t>
            </w:r>
          </w:p>
          <w:p w:rsidR="000C03E5" w:rsidRPr="000C03E5" w:rsidRDefault="00D50EE2" w:rsidP="00D50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SL5 listen and respond appropriately in conversation.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Expressing personal opinion</w:t>
            </w: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Communicate ideas</w:t>
            </w:r>
          </w:p>
          <w:p w:rsidR="006D1E91" w:rsidRDefault="006D1E91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Argue to persuade</w:t>
            </w:r>
          </w:p>
          <w:p w:rsidR="006D1E91" w:rsidRDefault="006D1E91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51239" w:rsidRPr="000C03E5" w:rsidRDefault="00851239" w:rsidP="008512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Offer counter arguments</w:t>
            </w:r>
          </w:p>
        </w:tc>
      </w:tr>
      <w:tr w:rsidR="000C03E5" w:rsidRPr="000C03E5" w:rsidTr="0069636B"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69636B" w:rsidRDefault="0069636B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lastRenderedPageBreak/>
              <w:t xml:space="preserve">                                        </w:t>
            </w:r>
            <w:r w:rsidRPr="0069636B">
              <w:rPr>
                <w:rFonts w:ascii="Arial" w:eastAsia="Times New Roman" w:hAnsi="Arial" w:cs="Arial"/>
                <w:b/>
                <w:color w:val="000000"/>
                <w:sz w:val="36"/>
                <w:szCs w:val="36"/>
              </w:rPr>
              <w:t>Term Two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9636B" w:rsidRDefault="0069636B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9636B" w:rsidRDefault="0069636B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9636B" w:rsidRPr="000C03E5" w:rsidRDefault="0069636B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16-20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Focus on Writing – Responding to Text</w:t>
            </w:r>
          </w:p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Article and Letter Writing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6D1E91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will use this time</w:t>
            </w:r>
            <w:r w:rsidR="000C03E5"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C03E5"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practising</w:t>
            </w:r>
            <w:proofErr w:type="spellEnd"/>
            <w:r w:rsidR="000C03E5"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skills required for Paper 3. Conventions of Article and Letter Writing are revised. Students taking Paper 2 also complete practice composition tasks. Students taking Paper 3 may edit prior submitted work if required.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E91" w:rsidRPr="00C84199" w:rsidRDefault="006D1E91" w:rsidP="006D1E91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t>AO2 Writing</w:t>
            </w:r>
          </w:p>
          <w:p w:rsidR="006D1E91" w:rsidRPr="00C84199" w:rsidRDefault="006D1E91" w:rsidP="006D1E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6D1E91" w:rsidRPr="00C84199" w:rsidRDefault="006D1E91" w:rsidP="006D1E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W2 organize and structure ideas and opinions for deliberate effect </w:t>
            </w:r>
          </w:p>
          <w:p w:rsidR="006D1E91" w:rsidRPr="00C84199" w:rsidRDefault="006D1E91" w:rsidP="006D1E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6D1E91" w:rsidRPr="00C84199" w:rsidRDefault="006D1E91" w:rsidP="006D1E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6D1E91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D1E9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Writing skills</w:t>
            </w:r>
          </w:p>
          <w:p w:rsidR="006D1E91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6D1E91" w:rsidRPr="006D1E91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D1E9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Text Analysis</w:t>
            </w:r>
          </w:p>
          <w:p w:rsidR="006D1E91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6D1E91" w:rsidRPr="000C03E5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D1E9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Practise writing</w:t>
            </w:r>
          </w:p>
        </w:tc>
      </w:tr>
      <w:tr w:rsidR="000C03E5" w:rsidRPr="000C03E5" w:rsidTr="0069636B"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69636B" w:rsidRDefault="0069636B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="000C03E5" w:rsidRPr="0069636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Mid-Term Break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Focus on Reading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revise and practise the skills needed for Paper 1, answering sample questions in groups and under timed conditions, in order to prepare for the school examination.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sz w:val="18"/>
                <w:szCs w:val="18"/>
              </w:rPr>
              <w:t>AO1 Reading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R1 demonstrate understanding of explicit meanings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R2 demonstrate understanding of implicit meanings and attitudes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R3 analyze, evaluate and develop facts, ideas and opinions, using appropriate support from the text </w:t>
            </w:r>
          </w:p>
          <w:p w:rsidR="000C03E5" w:rsidRPr="000C03E5" w:rsidRDefault="00D50EE2" w:rsidP="00D50EE2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R5 select and use information for specific purposes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Default="006D1E91" w:rsidP="000C03E5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Comprehension skills</w:t>
            </w:r>
          </w:p>
          <w:p w:rsidR="006D1E91" w:rsidRPr="000C03E5" w:rsidRDefault="006D1E91" w:rsidP="000C03E5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Revision </w:t>
            </w: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Assessment</w:t>
            </w:r>
            <w:r w:rsidR="00D50EE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/Practice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24-25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Focus on Writing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</w:t>
            </w:r>
            <w:r w:rsidR="00D50EE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ts </w:t>
            </w: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have a final opportunity to discuss, proofread and edit their work for final submission. Students taking Paper 2 complete sample tasks, using the rubrics to mark their work and that of others, and setting targets for the remainder of the year.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EE2" w:rsidRPr="00C84199" w:rsidRDefault="00D50EE2" w:rsidP="00D50EE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C84199">
              <w:rPr>
                <w:rFonts w:ascii="Arial" w:hAnsi="Arial" w:cs="Arial"/>
                <w:b/>
                <w:noProof/>
                <w:sz w:val="18"/>
                <w:szCs w:val="18"/>
              </w:rPr>
              <w:t>AO2 Writing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W1 articulate experience and express what is thought, felt and imagined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W2 organize and structure ideas and opinions for deliberate effect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 xml:space="preserve">W3 use a range of vocabulary and sentence structures appropriate to context </w:t>
            </w:r>
          </w:p>
          <w:p w:rsidR="00D50EE2" w:rsidRPr="00C84199" w:rsidRDefault="00D50EE2" w:rsidP="00D50E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W4 use register appropriate to context</w:t>
            </w:r>
          </w:p>
          <w:p w:rsidR="000C03E5" w:rsidRPr="000C03E5" w:rsidRDefault="00D50EE2" w:rsidP="00D50E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4199">
              <w:rPr>
                <w:rFonts w:ascii="Arial" w:hAnsi="Arial" w:cs="Arial"/>
                <w:sz w:val="18"/>
                <w:szCs w:val="18"/>
              </w:rPr>
              <w:t>W5 make accurate use of spelling, punctuation and grammar.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6D1E91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D1E9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Writing skills </w:t>
            </w:r>
          </w:p>
          <w:p w:rsidR="006D1E91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6D1E91" w:rsidRPr="000C03E5" w:rsidRDefault="006D1E91" w:rsidP="006D1E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D1E9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Revision</w:t>
            </w:r>
          </w:p>
        </w:tc>
      </w:tr>
      <w:tr w:rsidR="000C03E5" w:rsidRPr="000C03E5" w:rsidTr="000C03E5"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C03E5" w:rsidRPr="000C03E5" w:rsidTr="000C03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26-29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Review and Practice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3E5" w:rsidRPr="000C03E5" w:rsidRDefault="000C03E5" w:rsidP="000C03E5">
            <w:pPr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revise all the main text styles required by the syllabus. They complete practice examination questions as a class, and under timed conditions.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C03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taking the Speaking and Listening Oral Endorsement prepare for and complete their assessments</w:t>
            </w:r>
          </w:p>
        </w:tc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E5" w:rsidRPr="000C03E5" w:rsidRDefault="000C03E5" w:rsidP="000C03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A61A9" w:rsidRPr="000C03E5" w:rsidRDefault="005A61A9">
      <w:pPr>
        <w:rPr>
          <w:rFonts w:ascii="Arial" w:hAnsi="Arial" w:cs="Arial"/>
          <w:sz w:val="18"/>
          <w:szCs w:val="18"/>
        </w:rPr>
      </w:pPr>
    </w:p>
    <w:sectPr w:rsidR="005A61A9" w:rsidRPr="000C03E5" w:rsidSect="000C03E5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E5"/>
    <w:rsid w:val="000C03E5"/>
    <w:rsid w:val="005A61A9"/>
    <w:rsid w:val="0069636B"/>
    <w:rsid w:val="006D1E91"/>
    <w:rsid w:val="00851239"/>
    <w:rsid w:val="00D50EE2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CA57B1-CD54-459C-BECB-DBCB6E7A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51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5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comp 14</dc:creator>
  <cp:keywords/>
  <dc:description/>
  <cp:lastModifiedBy>Teacher comp 14</cp:lastModifiedBy>
  <cp:revision>3</cp:revision>
  <dcterms:created xsi:type="dcterms:W3CDTF">2021-09-13T03:51:00Z</dcterms:created>
  <dcterms:modified xsi:type="dcterms:W3CDTF">2021-09-13T12:15:00Z</dcterms:modified>
</cp:coreProperties>
</file>